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:31.  Notice requirements for policies or certificates that are not Medicare supplement policies.</w:t>
      </w:r>
      <w:r>
        <w:rPr>
          <w:rFonts w:ascii="Times New Roman" w:hAnsi="Times New Roman"/>
          <w:sz w:val="24"/>
        </w:rPr>
        <w:t xml:space="preserve"> The disclosure notice required by § </w:t>
      </w:r>
      <w:smartTag w:uri="urn:schemas-microsoft-com:office:smarttags" w:element="time">
        <w:smartTagPr>
          <w:attr w:name="Minute" w:val="6"/>
          <w:attr w:name="Hour" w:val="20"/>
        </w:smartTagPr>
        <w:r>
          <w:rPr>
            <w:rFonts w:ascii="Times New Roman" w:hAnsi="Times New Roman"/>
            <w:sz w:val="24"/>
          </w:rPr>
          <w:t>20:06:13:30</w:t>
        </w:r>
      </w:smartTag>
      <w:r>
        <w:rPr>
          <w:rFonts w:ascii="Times New Roman" w:hAnsi="Times New Roman"/>
          <w:sz w:val="24"/>
        </w:rPr>
        <w:t xml:space="preserve"> must be in at least twelve-point type. The notice must be printed on or attached to the first page of the policy, subscriber contract, or certificate or the first page of an outline of coverage under a policy, subscriber contract, or certificate if an outline is provided at the time of application. The notice must contain the following language:</w:t>
      </w: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(POLICY OR CERTIFICATE) IS NOT A MEDICARE SUPPLEMENT (POLICY OR CONTRACT). If you are eligible for Medicare, review the [insert the most recent guide as approved by the director] available from the company."</w:t>
      </w: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Applications provided to persons eligible for Medicare for the health insurance policies or certificates described in § 20:06:13:30 must disclose, using the applicable statement in Appendix E at the end of this chapter, the extent to which the policy duplicates Medicare. Disclosure used by an issuer must be in substantially the same form and in no less than twelve-point type. For purposes of this section, "form" means the language, format, type size, type proportional spacing, bold character, line spacing, and usage of boxes around text. The issuer shall provide the disclosure statement as a part of, or together with, the application for the policy or certificate.</w:t>
      </w: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15 SDR 143, effective March 29, 1989; 17 SDR 58, effective October 29, 1990; 18 SDR 225, effective July 17, 1992; 22 SDR 107, effective February 18, 1996; 23 SDR 236, effective July 13, 1997; 26 SDR 26, effective September 1, 1999; 27 SDR 53, 27 SDR 54, effective December 4, 2000; 28 SDR 157, effective May 19, 2002.</w:t>
      </w: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58-17A-7.</w:t>
      </w: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58-17A-7.</w:t>
      </w:r>
    </w:p>
    <w:p w:rsidR="007E0EC5" w:rsidRDefault="007E0EC5" w:rsidP="00E66D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E0EC5" w:rsidSect="007E0E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7E0EC5"/>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66D9B"/>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9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279</Words>
  <Characters>1595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2004-06-08T20:44:00Z</dcterms:created>
  <dcterms:modified xsi:type="dcterms:W3CDTF">2004-06-08T20:44:00Z</dcterms:modified>
</cp:coreProperties>
</file>