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:06.02.  Group cost-of-living adjustments -- Exceptions.</w:t>
      </w:r>
      <w:r>
        <w:rPr>
          <w:rFonts w:ascii="Times New Roman" w:hAnsi="Times New Roman"/>
          <w:sz w:val="24"/>
        </w:rPr>
        <w:t xml:space="preserve"> If the policy is issued to a group, the offer required in SDCL 58-17B-13 and 58-17B-13.1 and in § 20:06:21:06.01 shall be made to the group policyholder. However, if the policy is issued to a group as defined in SDCL 58-17B-2(4)(d), other than a continuing care retirement community, the offering shall be made to each proposed certificateholder.</w:t>
      </w:r>
    </w:p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58-17B-13.1.</w:t>
      </w:r>
    </w:p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58-17B-13.</w:t>
      </w:r>
    </w:p>
    <w:p w:rsidR="00EA69FF" w:rsidRDefault="00EA69FF" w:rsidP="00321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69FF" w:rsidSect="00EA6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2145A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A69F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2004-06-09T19:51:00Z</dcterms:created>
  <dcterms:modified xsi:type="dcterms:W3CDTF">2004-06-09T19:51:00Z</dcterms:modified>
</cp:coreProperties>
</file>