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:53.01.  Suitability standards.</w:t>
      </w:r>
      <w:r>
        <w:rPr>
          <w:rFonts w:ascii="Times New Roman" w:hAnsi="Times New Roman"/>
          <w:sz w:val="24"/>
        </w:rPr>
        <w:t xml:space="preserve"> Every insurer, health care service plan or other entity marketing long-term care insurance, all referred to as the "issuer", shall: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Develop and use suitability standards to determine whether the purchase or replacement of long-term care insurance is appropriate for the needs of the applicant;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Train its agents in the use of its suitability standards; and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Maintain a copy of its suitability standards and make them available for inspection upon request by the director.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 determine if the applicant meets the suitability standards developed by the issuer, as required by this section, the agent and issuer shall develop procedures that consider the following: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ability to pay for the proposed coverage and other pertinent financial information related to the purchase of the coverage;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applicant's goals or needs with respect to long-term care and the advantages and disadvantages of insurance to meet these goals or needs; and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values, benefits, and costs of the applicant's existing insurance, if any, when compared to the values, benefits, and costs of the recommended purchase or replacement.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A4433C" w:rsidRDefault="00A4433C" w:rsidP="00A624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4433C" w:rsidSect="00A44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4433C"/>
    <w:rsid w:val="00A50166"/>
    <w:rsid w:val="00A544F7"/>
    <w:rsid w:val="00A6244B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4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2004-06-09T20:06:00Z</dcterms:created>
  <dcterms:modified xsi:type="dcterms:W3CDTF">2004-06-09T20:06:00Z</dcterms:modified>
</cp:coreProperties>
</file>