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7BE9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20:06:21:63.  Premium rate schedule increases -- Notice of pending increase.</w:t>
      </w:r>
      <w:r>
        <w:rPr>
          <w:rFonts w:ascii="Times New Roman" w:hAnsi="Times New Roman"/>
          <w:sz w:val="24"/>
        </w:rPr>
        <w:t xml:space="preserve"> An insurer shall provide notice of a pending premium rate schedule increase, including an exceptional increase, to the director at least 30 days prior to the notice to the policyholders, and shall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Information required by § 20:06:21:60;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Certification by a qualified actuary that: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If the requested premium rate schedule increase is implemented and the underlying assumptions, which reflect moderately adverse conditions, are realized, no further premium rate schedule increases are anticipated;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The premium rate filing is in compliance with the provisions of this section;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(c)  The insurer may request a premium rate schedule increase less than what is required under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this section and the director may approve such premium rate schedule increase, without submission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certification in subdivision (2)(a), if the actuarial memorandum discloses the premium rate schedule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increase necessary to make the certificat</w:t>
      </w:r>
      <w:r>
        <w:rPr>
          <w:rFonts w:ascii="Times New Roman" w:hAnsi="Times New Roman"/>
          <w:sz w:val="24"/>
          <w:lang w:val="en-US" w:bidi="en-US" w:eastAsia="en-US"/>
        </w:rPr>
        <w:t>io</w:t>
      </w:r>
      <w:r>
        <w:rPr>
          <w:rFonts w:ascii="Times New Roman" w:hAnsi="Times New Roman"/>
          <w:sz w:val="24"/>
          <w:lang w:val="en-US" w:bidi="en-US" w:eastAsia="en-US"/>
        </w:rPr>
        <w:t>n required pursua</w:t>
      </w:r>
      <w:r>
        <w:rPr>
          <w:rFonts w:ascii="Times New Roman" w:hAnsi="Times New Roman"/>
          <w:sz w:val="24"/>
          <w:lang w:val="en-US" w:bidi="en-US" w:eastAsia="en-US"/>
        </w:rPr>
        <w:t xml:space="preserve">nt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o subdivision (2)(a)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the premiu</w:t>
      </w:r>
      <w:r>
        <w:rPr>
          <w:rFonts w:ascii="Times New Roman" w:hAnsi="Times New Roman"/>
          <w:sz w:val="24"/>
          <w:lang w:val="en-US" w:bidi="en-US" w:eastAsia="en-US"/>
        </w:rPr>
        <w:t xml:space="preserve">m </w:t>
      </w:r>
      <w:r>
        <w:rPr>
          <w:rFonts w:ascii="Times New Roman" w:hAnsi="Times New Roman"/>
          <w:sz w:val="24"/>
          <w:lang w:val="en-US" w:bidi="en-US" w:eastAsia="en-US"/>
        </w:rPr>
        <w:t>rate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schedule increase filing satisfies all other requirements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this section, and is, in the opinion of the director,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 the best interest of the policyholders;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actuarial memorandum justifying the rate schedule change request that includes: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Lifetime projections of earned premiums and incurred claims based on the filed premium rate schedule increase; and the method and assumptions used in determining the projected values, including reflection of any assumptions that deviate from those used for pricing other forms currently available for sale;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(i)    Annual values for the five years preceding the three years following the valuation date shall be provided separately;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(ii)   The projections shall include the development of the lifetime loss ratio, unless the rate increase is an exceptional increase;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(iii)  The projections shall demonstrate compliance with § 20:06:21:64;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(iv)  For exceptional increases: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(I)   The projected experience must be limited to the increases in claims expenses attributable to the approved reasons for the exceptional increase;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(II)  In the event the director determines as provided in § 20:06:21:70 that offsets may exist, the insurer shall use appropriate net projected experience;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Disclosure of how reserves have been incorporated in this rate increase whenever the rate increase will trigger contingent benefit upon lapse;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Disclosure of the analysis performed to determine why a rate adjustment is necessary, which pricing assumptions were not realized and why, and what other actions taken by the company have been relied on by the actuary;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A statement that policy design, underwriting, and claims adjudication practices have been taken into consideration;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In the event that it is necessary to maintain consistent premium rates for new certificates and certificates receiving a rate increase, the insurer will need to file composite rates reflecting projections of new certificates;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(f)  A demonstration that actual and projected costs exceed costs anticipated at the time of initial pricing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under moderately adverse experience and that the composite margin specified in subdivision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20:06:21:61(2)(b)(iv) is projected to be exhausted;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statement that renewal premium rate schedules are not greater than new business premium rate schedules except for differences attributable to benefits, unless sufficient justification is provided to the director;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Sufficient information for review and approval of the premium rate schedule increase by the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May 19, 2002</w:t>
      </w:r>
      <w:r>
        <w:rPr>
          <w:rFonts w:ascii="Times New Roman" w:hAnsi="Times New Roman"/>
          <w:sz w:val="24"/>
        </w:rPr>
        <w:t>; 44 SDR 184, effective June 25,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