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r>
        <w:tab/>
      </w:r>
      <w:r>
        <w:rPr>
          <w:b w:val="1"/>
        </w:rPr>
        <w:t>20:06:53:66.  Funding of external review.</w:t>
      </w:r>
      <w:r>
        <w:t xml:space="preserve"> The health carrier against which a request for any review subject to this chapter is filed shall pay the cost of the independent review organization for conducting the external review. </w:t>
      </w:r>
    </w:p>
    <w:p/>
    <w:p>
      <w:r>
        <w:tab/>
      </w:r>
      <w:r>
        <w:rPr>
          <w:b w:val="1"/>
        </w:rPr>
        <w:t>Source:</w:t>
      </w:r>
      <w:r>
        <w:t xml:space="preserve"> 37 SDR 48, effective September 22, 2010; 37 SDR 241, effective July 1, 2011; 38 SDR 102, effective December 7, 2011</w:t>
      </w:r>
      <w:r>
        <w:rPr>
          <w:lang w:val="en-US" w:bidi="en-US" w:eastAsia="en-US"/>
        </w:rPr>
        <w:t>; 50 SDR 63, effective November 28, 2023</w:t>
      </w:r>
      <w:r>
        <w:t>.</w:t>
      </w:r>
    </w:p>
    <w:p>
      <w:r>
        <w:tab/>
      </w:r>
      <w:r>
        <w:rPr>
          <w:b w:val="1"/>
        </w:rPr>
        <w:t>General Authority:</w:t>
      </w:r>
      <w:r>
        <w:t xml:space="preserve"> SDCL 58-17-87, 58-17H-49, 58-17I-16, 58-18-79.</w:t>
      </w:r>
    </w:p>
    <w:p>
      <w:r>
        <w:tab/>
      </w:r>
      <w:r>
        <w:rPr>
          <w:b w:val="1"/>
        </w:rPr>
        <w:t>Law Implemented:</w:t>
      </w:r>
      <w:r>
        <w:t xml:space="preserve"> SDCL 58-17-87, 58-18-79.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10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2011-11-21T21:07:00Z</dcterms:created>
  <cp:lastModifiedBy>Kelly Thompson</cp:lastModifiedBy>
  <dcterms:modified xsi:type="dcterms:W3CDTF">2023-11-30T15:23:15Z</dcterms:modified>
  <cp:revision>5</cp:revision>
</cp:coreProperties>
</file>