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0F" w:rsidRDefault="008A440F" w:rsidP="00A976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20:10:27</w:t>
        </w:r>
      </w:smartTag>
      <w:r>
        <w:rPr>
          <w:rFonts w:ascii="Times New Roman" w:hAnsi="Times New Roman"/>
          <w:b/>
          <w:sz w:val="24"/>
        </w:rPr>
        <w:t>:07.  Filing of intrastate switched access service tariff.</w:t>
      </w:r>
      <w:r>
        <w:rPr>
          <w:rFonts w:ascii="Times New Roman" w:hAnsi="Times New Roman"/>
          <w:sz w:val="24"/>
        </w:rPr>
        <w:t xml:space="preserve"> Each carrier's carrier or association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file an initial tariff for switched access service with the commission. Each carrier's carrier or association that used a cost study in its calculation of its rates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file cost data in support of its switched access service tariff no less than once every three years. Each carrier's carrier or association may file for a rate change in accordance with SDCL 49-31-12.2 to 49-31-12.4, inclusive. The commission may change or revise any switched access rate or price in accordance with SDCL 49-31-12 and 49-31-12.4.</w:t>
      </w:r>
    </w:p>
    <w:p w:rsidR="008A440F" w:rsidRDefault="008A440F" w:rsidP="00A976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A440F" w:rsidRDefault="008A440F" w:rsidP="00A976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111, effective January 31, 1993; 37 SDR 214, effective May 2011.</w:t>
      </w:r>
    </w:p>
    <w:p w:rsidR="008A440F" w:rsidRDefault="008A440F" w:rsidP="00A976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49-1-11, 49-31-5, 49-31-18.</w:t>
      </w:r>
    </w:p>
    <w:p w:rsidR="008A440F" w:rsidRDefault="008A440F" w:rsidP="00A976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49-31-18.</w:t>
      </w:r>
    </w:p>
    <w:p w:rsidR="008A440F" w:rsidRDefault="008A440F" w:rsidP="00A976D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A440F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DF"/>
    <w:rsid w:val="0058303B"/>
    <w:rsid w:val="00726129"/>
    <w:rsid w:val="008A440F"/>
    <w:rsid w:val="00961235"/>
    <w:rsid w:val="00A7076E"/>
    <w:rsid w:val="00A976DF"/>
    <w:rsid w:val="00BC1BD3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D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</Words>
  <Characters>679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2011-05-20T19:46:00Z</dcterms:created>
  <dcterms:modified xsi:type="dcterms:W3CDTF">2011-05-20T19:46:00Z</dcterms:modified>
</cp:coreProperties>
</file>