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7E026C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20:14:03:05.  Inactive status.</w:t>
      </w:r>
      <w:r>
        <w:rPr>
          <w:rFonts w:ascii="Times New Roman" w:hAnsi="Times New Roman"/>
          <w:sz w:val="24"/>
        </w:rPr>
        <w:t xml:space="preserve"> An appraiser who does not wish to be actively engaged in real estate appraisal activity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</w:rPr>
        <w:t xml:space="preserve"> request in writing that the secretary place the appraiser's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on inactive status. The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and the identification card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</w:rPr>
        <w:t xml:space="preserve"> accompany the written request. Any appraiser whose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has been placed on inactive status may not engage in real estate appraisal activity.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The appraiser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</w:rPr>
        <w:t xml:space="preserve"> renew the inactive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as specified in § 20:14:03:03 and pay the renewal fees as specified in § 20:14:10:02. The continuing education requirement specified in § 20:14:13:01 is not required during the period of inactive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91, effective January 1, 1996; 23 SDR 113, effective January 12, 1997; 34 SDR 67, effective September 11, 2007</w:t>
      </w:r>
      <w:r>
        <w:rPr>
          <w:rFonts w:ascii="Times New Roman" w:hAnsi="Times New Roman"/>
          <w:sz w:val="24"/>
        </w:rPr>
        <w:t>; 44 SDR 27, effective August 14,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36-21B-3.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36-21B-1, 36-21B-3(19).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