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20:38:31:05.  Landscape architecture.</w:t>
      </w:r>
      <w:r>
        <w:t xml:space="preserve"> An applicant for licensure as a Landscape Architect is required to have experience as determined by CLARB. The applicant's CLARB council record shall be provided to the board of evaluation and acceptance.</w:t>
      </w:r>
    </w:p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July 29, 1999; transferred from § 20:38:15:05, 38 SDR 121, effective January 16, 2012.</w:t>
      </w:r>
    </w:p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36-18A-22(3), 36-18A-30.</w:t>
      </w:r>
    </w:p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36-18A-5, 36-18A-30, 36-18A-32.</w:t>
      </w:r>
    </w:p>
    <w:p w:rsidR="004832B3" w:rsidRDefault="004832B3" w:rsidP="00D957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832B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D7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832B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957D7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D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2012-02-03T15:01:00Z</dcterms:created>
  <dcterms:modified xsi:type="dcterms:W3CDTF">2012-02-03T15:01:00Z</dcterms:modified>
</cp:coreProperties>
</file>