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944828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20:76:01:03.  Notification.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board shall take final action upon any application no later than six months after submission</w:t>
      </w:r>
      <w:r>
        <w:rPr>
          <w:rFonts w:ascii="Times New Roman" w:hAnsi="Times New Roman"/>
          <w:sz w:val="24"/>
          <w:lang w:val="en-US" w:bidi="en-US" w:eastAsia="en-US"/>
        </w:rPr>
        <w:t xml:space="preserve"> of a completed application to the board. The board shall notify the applicant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its determination in writing. If the application is denied, the board shall notify the applicant of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reason for denial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33 SDR 50, effective September 21, 2006; 37 SDR 29, effective August 30, 2010</w:t>
      </w:r>
      <w:r>
        <w:rPr>
          <w:rFonts w:ascii="Times New Roman" w:hAnsi="Times New Roman"/>
          <w:sz w:val="24"/>
        </w:rPr>
        <w:t>; 43 SDR 181, effective July 10, 2017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36-35-24(1).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36-35-24.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